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4" w:rsidRPr="003646A4" w:rsidRDefault="0047755B" w:rsidP="003D4244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IRA/MITEZ</w:t>
      </w:r>
      <w:bookmarkStart w:id="0" w:name="_GoBack"/>
      <w:bookmarkEnd w:id="0"/>
      <w:r w:rsidR="003D4244" w:rsidRPr="003646A4">
        <w:rPr>
          <w:b/>
          <w:color w:val="FF0000"/>
          <w:sz w:val="52"/>
        </w:rPr>
        <w:t>ZA</w:t>
      </w:r>
    </w:p>
    <w:p w:rsidR="003D4244" w:rsidRDefault="003D4244" w:rsidP="003D4244"/>
    <w:p w:rsidR="003D4244" w:rsidRDefault="003D4244" w:rsidP="003D42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5"/>
        <w:gridCol w:w="7953"/>
      </w:tblGrid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3D4244" w:rsidRPr="003646A4" w:rsidRDefault="003D4244" w:rsidP="00B133F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ATTENTI AL CACTUS!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 disinnescare le potenziali manifestazioni d’ira.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3D4244" w:rsidRPr="00B93615" w:rsidRDefault="003D4244" w:rsidP="00B133FE">
            <w:pPr>
              <w:rPr>
                <w:sz w:val="24"/>
                <w:szCs w:val="24"/>
              </w:rPr>
            </w:pPr>
            <w:r w:rsidRPr="00B93615">
              <w:rPr>
                <w:sz w:val="24"/>
                <w:szCs w:val="24"/>
              </w:rPr>
              <w:t>I ragazzi vengono</w:t>
            </w:r>
            <w:r>
              <w:rPr>
                <w:sz w:val="24"/>
                <w:szCs w:val="24"/>
              </w:rPr>
              <w:t xml:space="preserve"> divisi in squadre </w:t>
            </w:r>
            <w:r w:rsidRPr="00B93615">
              <w:rPr>
                <w:sz w:val="24"/>
                <w:szCs w:val="24"/>
              </w:rPr>
              <w:t xml:space="preserve">ed ogni squadra viene messa di fronte ad un percorso di </w:t>
            </w:r>
            <w:r>
              <w:rPr>
                <w:sz w:val="24"/>
                <w:szCs w:val="24"/>
              </w:rPr>
              <w:t xml:space="preserve">“cactus”, cioè </w:t>
            </w:r>
            <w:r w:rsidRPr="00B93615">
              <w:rPr>
                <w:sz w:val="24"/>
                <w:szCs w:val="24"/>
              </w:rPr>
              <w:t xml:space="preserve">bottiglie </w:t>
            </w:r>
            <w:r>
              <w:rPr>
                <w:sz w:val="24"/>
                <w:szCs w:val="24"/>
              </w:rPr>
              <w:t xml:space="preserve">verdi </w:t>
            </w:r>
            <w:r w:rsidRPr="00B93615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 </w:t>
            </w:r>
            <w:r w:rsidRPr="00B93615">
              <w:rPr>
                <w:sz w:val="24"/>
                <w:szCs w:val="24"/>
              </w:rPr>
              <w:t xml:space="preserve">plastica </w:t>
            </w:r>
            <w:r>
              <w:rPr>
                <w:sz w:val="24"/>
                <w:szCs w:val="24"/>
              </w:rPr>
              <w:t xml:space="preserve">decorate come un cactus, </w:t>
            </w:r>
            <w:r w:rsidRPr="00B93615">
              <w:rPr>
                <w:sz w:val="24"/>
                <w:szCs w:val="24"/>
              </w:rPr>
              <w:t xml:space="preserve">con un’etichetta che indica il tempo che impiega il </w:t>
            </w:r>
            <w:r>
              <w:rPr>
                <w:sz w:val="24"/>
                <w:szCs w:val="24"/>
              </w:rPr>
              <w:t xml:space="preserve">cactus a nascere, corrispondente al tempo massimo consentito </w:t>
            </w:r>
            <w:r w:rsidRPr="00B93615">
              <w:rPr>
                <w:sz w:val="24"/>
                <w:szCs w:val="24"/>
              </w:rPr>
              <w:t xml:space="preserve">per superare la prova lanciata dall’animatore. La bottiglia contiene </w:t>
            </w:r>
            <w:r>
              <w:rPr>
                <w:sz w:val="24"/>
                <w:szCs w:val="24"/>
              </w:rPr>
              <w:t>1 litro e mezzo di acqua con almeno tre cucchiai di aceto: se la prova è superata entro il tempo previsto, si può passare alla seguente, altrimenti tutta la squadra deve bere il contenuto della bottiglia-cactus.</w:t>
            </w:r>
          </w:p>
          <w:p w:rsidR="003D4244" w:rsidRPr="00B93615" w:rsidRDefault="003D4244" w:rsidP="00B133FE">
            <w:pPr>
              <w:rPr>
                <w:sz w:val="24"/>
                <w:szCs w:val="24"/>
              </w:rPr>
            </w:pPr>
            <w:r w:rsidRPr="00B93615">
              <w:rPr>
                <w:sz w:val="24"/>
                <w:szCs w:val="24"/>
              </w:rPr>
              <w:t>Ci deve essere un animatore per squadra, che sarà il conduttore delle prove solo per quella</w:t>
            </w:r>
            <w:r>
              <w:rPr>
                <w:sz w:val="24"/>
                <w:szCs w:val="24"/>
              </w:rPr>
              <w:t xml:space="preserve"> </w:t>
            </w:r>
            <w:r w:rsidRPr="00B93615">
              <w:rPr>
                <w:sz w:val="24"/>
                <w:szCs w:val="24"/>
              </w:rPr>
              <w:t>squadra per tutta la durata del gioco. Si tratta di una serie di prove a tempo. Le prove devono essere di</w:t>
            </w:r>
            <w:r>
              <w:rPr>
                <w:sz w:val="24"/>
                <w:szCs w:val="24"/>
              </w:rPr>
              <w:t xml:space="preserve"> medio-</w:t>
            </w:r>
            <w:r w:rsidRPr="00B93615">
              <w:rPr>
                <w:sz w:val="24"/>
                <w:szCs w:val="24"/>
              </w:rPr>
              <w:t>alta difficoltà e</w:t>
            </w:r>
            <w:r>
              <w:rPr>
                <w:sz w:val="24"/>
                <w:szCs w:val="24"/>
              </w:rPr>
              <w:t xml:space="preserve"> il tempo rapportato alla prova:</w:t>
            </w:r>
            <w:r w:rsidRPr="00B93615">
              <w:rPr>
                <w:sz w:val="24"/>
                <w:szCs w:val="24"/>
              </w:rPr>
              <w:t xml:space="preserve"> se si vogliono cambiare le prove, </w:t>
            </w:r>
            <w:r>
              <w:rPr>
                <w:sz w:val="24"/>
                <w:szCs w:val="24"/>
              </w:rPr>
              <w:t xml:space="preserve">rispetto a quelle proposte, </w:t>
            </w:r>
            <w:r w:rsidRPr="00B93615">
              <w:rPr>
                <w:sz w:val="24"/>
                <w:szCs w:val="24"/>
              </w:rPr>
              <w:t>è opportuno verificarne la fattibilità e i tempi per non far</w:t>
            </w:r>
            <w:r>
              <w:rPr>
                <w:sz w:val="24"/>
                <w:szCs w:val="24"/>
              </w:rPr>
              <w:t xml:space="preserve"> </w:t>
            </w:r>
            <w:r w:rsidRPr="00B93615">
              <w:rPr>
                <w:sz w:val="24"/>
                <w:szCs w:val="24"/>
              </w:rPr>
              <w:t>risultare la prova troppo semplice.</w:t>
            </w:r>
            <w:r>
              <w:rPr>
                <w:sz w:val="24"/>
                <w:szCs w:val="24"/>
              </w:rPr>
              <w:t xml:space="preserve"> </w:t>
            </w:r>
            <w:r w:rsidRPr="00B93615">
              <w:rPr>
                <w:sz w:val="24"/>
                <w:szCs w:val="24"/>
              </w:rPr>
              <w:t>Tra un gioco ed un alt</w:t>
            </w:r>
            <w:r>
              <w:rPr>
                <w:sz w:val="24"/>
                <w:szCs w:val="24"/>
              </w:rPr>
              <w:t>ro non ci devono essere pause, perciò l</w:t>
            </w:r>
            <w:r w:rsidRPr="00B93615">
              <w:rPr>
                <w:sz w:val="24"/>
                <w:szCs w:val="24"/>
              </w:rPr>
              <w:t>’animatore deve aver preparato</w:t>
            </w:r>
          </w:p>
          <w:p w:rsidR="003D4244" w:rsidRDefault="003D4244" w:rsidP="00B133FE">
            <w:pPr>
              <w:rPr>
                <w:sz w:val="24"/>
                <w:szCs w:val="24"/>
              </w:rPr>
            </w:pPr>
            <w:r w:rsidRPr="00B93615">
              <w:rPr>
                <w:sz w:val="24"/>
                <w:szCs w:val="24"/>
              </w:rPr>
              <w:t>precedentemente tutto il materiale necessario e soprattutto deve spiegare subito il gioco successivo</w:t>
            </w:r>
            <w:r>
              <w:rPr>
                <w:sz w:val="24"/>
                <w:szCs w:val="24"/>
              </w:rPr>
              <w:t xml:space="preserve"> </w:t>
            </w:r>
            <w:r w:rsidRPr="00B93615">
              <w:rPr>
                <w:sz w:val="24"/>
                <w:szCs w:val="24"/>
              </w:rPr>
              <w:t>nel minor tempo possibile.</w:t>
            </w:r>
            <w:r>
              <w:rPr>
                <w:sz w:val="24"/>
                <w:szCs w:val="24"/>
              </w:rPr>
              <w:t xml:space="preserve"> </w:t>
            </w:r>
            <w:r w:rsidRPr="00B93615">
              <w:rPr>
                <w:sz w:val="24"/>
                <w:szCs w:val="24"/>
              </w:rPr>
              <w:t xml:space="preserve">Ottiene più punti la squadra che riesce a </w:t>
            </w:r>
            <w:r>
              <w:rPr>
                <w:sz w:val="24"/>
                <w:szCs w:val="24"/>
              </w:rPr>
              <w:t>far nascere meno “cactus”</w:t>
            </w:r>
            <w:r w:rsidRPr="00B93615">
              <w:rPr>
                <w:sz w:val="24"/>
                <w:szCs w:val="24"/>
              </w:rPr>
              <w:t xml:space="preserve"> possibili</w:t>
            </w:r>
            <w:r>
              <w:rPr>
                <w:sz w:val="24"/>
                <w:szCs w:val="24"/>
              </w:rPr>
              <w:t>.</w:t>
            </w:r>
          </w:p>
          <w:p w:rsidR="003D4244" w:rsidRPr="00797510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7510">
              <w:rPr>
                <w:i/>
                <w:sz w:val="24"/>
                <w:szCs w:val="24"/>
              </w:rPr>
              <w:t>Prova 1:</w:t>
            </w:r>
            <w:r w:rsidRPr="00797510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PERL</w:t>
            </w:r>
            <w:r w:rsidRPr="00797510">
              <w:rPr>
                <w:sz w:val="24"/>
                <w:szCs w:val="24"/>
              </w:rPr>
              <w:t xml:space="preserve">E AI PORCI” </w:t>
            </w:r>
            <w:r>
              <w:rPr>
                <w:sz w:val="24"/>
                <w:szCs w:val="24"/>
              </w:rPr>
              <w:t>[</w:t>
            </w:r>
            <w:r w:rsidRPr="00797510">
              <w:rPr>
                <w:sz w:val="24"/>
                <w:szCs w:val="24"/>
              </w:rPr>
              <w:t>6 min</w:t>
            </w:r>
            <w:r>
              <w:rPr>
                <w:sz w:val="24"/>
                <w:szCs w:val="24"/>
              </w:rPr>
              <w:t>uti]</w:t>
            </w:r>
          </w:p>
          <w:p w:rsidR="003D4244" w:rsidRPr="00797510" w:rsidRDefault="003D4244" w:rsidP="00B133FE">
            <w:pPr>
              <w:rPr>
                <w:sz w:val="24"/>
                <w:szCs w:val="24"/>
              </w:rPr>
            </w:pPr>
            <w:r w:rsidRPr="00797510">
              <w:rPr>
                <w:sz w:val="24"/>
                <w:szCs w:val="24"/>
              </w:rPr>
              <w:t>La squadra si divide in due file poste una di fronte all’altra e a qualche metro di distanza,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alternandosi dovranno lanciare un palloncino ad acqua da una parte all’altra per 15 volte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consecutive. Il palloncino deve essere lanciato di spalle, e afferrato con la maglietta. Se il palloncino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cade o scoppia 3 volte, si riinizia da capo.</w:t>
            </w:r>
          </w:p>
          <w:p w:rsidR="003D4244" w:rsidRPr="00797510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7510">
              <w:rPr>
                <w:i/>
                <w:sz w:val="24"/>
                <w:szCs w:val="24"/>
              </w:rPr>
              <w:t>Prova 2:</w:t>
            </w:r>
            <w:r w:rsidRPr="00797510">
              <w:rPr>
                <w:sz w:val="24"/>
                <w:szCs w:val="24"/>
              </w:rPr>
              <w:t xml:space="preserve"> “PIRAMIDE DI CRISTALLO” </w:t>
            </w:r>
            <w:r>
              <w:rPr>
                <w:sz w:val="24"/>
                <w:szCs w:val="24"/>
              </w:rPr>
              <w:t>[</w:t>
            </w:r>
            <w:r w:rsidRPr="00797510">
              <w:rPr>
                <w:sz w:val="24"/>
                <w:szCs w:val="24"/>
              </w:rPr>
              <w:t>5 min</w:t>
            </w:r>
            <w:r>
              <w:rPr>
                <w:sz w:val="24"/>
                <w:szCs w:val="24"/>
              </w:rPr>
              <w:t>uti]</w:t>
            </w:r>
          </w:p>
          <w:p w:rsidR="003D4244" w:rsidRPr="00797510" w:rsidRDefault="003D4244" w:rsidP="00B133FE">
            <w:pPr>
              <w:rPr>
                <w:sz w:val="24"/>
                <w:szCs w:val="24"/>
              </w:rPr>
            </w:pPr>
            <w:r w:rsidRPr="00797510">
              <w:rPr>
                <w:sz w:val="24"/>
                <w:szCs w:val="24"/>
              </w:rPr>
              <w:t>Procedendo a staffetta i ragazzi dovranno costruire un castello (7+6+5+4+3+2+1) con le carte da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gioco dall’altra parte del campo. Ogni ragazzo può portare una carta alla volta ed uno dei giocatori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 xml:space="preserve">può rimanere nel punto dove si costruisce il castello. </w:t>
            </w:r>
          </w:p>
          <w:p w:rsidR="003D4244" w:rsidRPr="00797510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7510">
              <w:rPr>
                <w:i/>
                <w:sz w:val="24"/>
                <w:szCs w:val="24"/>
              </w:rPr>
              <w:t>Prova 3:</w:t>
            </w:r>
            <w:r w:rsidRPr="00797510">
              <w:rPr>
                <w:sz w:val="24"/>
                <w:szCs w:val="24"/>
              </w:rPr>
              <w:t xml:space="preserve"> “IL VANITOSO”</w:t>
            </w:r>
            <w:r>
              <w:rPr>
                <w:sz w:val="24"/>
                <w:szCs w:val="24"/>
              </w:rPr>
              <w:t xml:space="preserve"> [10 minuti]</w:t>
            </w:r>
          </w:p>
          <w:p w:rsidR="003D4244" w:rsidRPr="00797510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Pr="00797510">
              <w:rPr>
                <w:sz w:val="24"/>
                <w:szCs w:val="24"/>
              </w:rPr>
              <w:t xml:space="preserve"> sceglie un membro della squadra come modello. Con i propri</w:t>
            </w:r>
            <w:r>
              <w:rPr>
                <w:sz w:val="24"/>
                <w:szCs w:val="24"/>
              </w:rPr>
              <w:t xml:space="preserve"> vestiti</w:t>
            </w:r>
            <w:r w:rsidRPr="00797510">
              <w:rPr>
                <w:sz w:val="24"/>
                <w:szCs w:val="24"/>
              </w:rPr>
              <w:t xml:space="preserve"> o con </w:t>
            </w:r>
            <w:r>
              <w:rPr>
                <w:sz w:val="24"/>
                <w:szCs w:val="24"/>
              </w:rPr>
              <w:t>altri messi a disposizione,</w:t>
            </w:r>
            <w:r w:rsidRPr="00797510">
              <w:rPr>
                <w:sz w:val="24"/>
                <w:szCs w:val="24"/>
              </w:rPr>
              <w:t xml:space="preserve"> i ragazzi devono far indossare al proprio compagno un numero di vestiti tale da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far aumentare il peso del ragazzo di 20kg (</w:t>
            </w:r>
            <w:r>
              <w:rPr>
                <w:sz w:val="24"/>
                <w:szCs w:val="24"/>
              </w:rPr>
              <w:t>esatti</w:t>
            </w:r>
            <w:r w:rsidRPr="00797510">
              <w:rPr>
                <w:sz w:val="24"/>
                <w:szCs w:val="24"/>
              </w:rPr>
              <w:t>). Non è possibile bagnare i vestiti per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aumentare il peso.</w:t>
            </w:r>
          </w:p>
          <w:p w:rsidR="003D4244" w:rsidRPr="00797510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7510">
              <w:rPr>
                <w:i/>
                <w:sz w:val="24"/>
                <w:szCs w:val="24"/>
              </w:rPr>
              <w:t>Prova 4:</w:t>
            </w:r>
            <w:r w:rsidRPr="00797510">
              <w:rPr>
                <w:sz w:val="24"/>
                <w:szCs w:val="24"/>
              </w:rPr>
              <w:t xml:space="preserve"> “CHI MIRA E CHI LANCIA”</w:t>
            </w:r>
            <w:r>
              <w:rPr>
                <w:sz w:val="24"/>
                <w:szCs w:val="24"/>
              </w:rPr>
              <w:t xml:space="preserve"> [6 minuti]</w:t>
            </w:r>
          </w:p>
          <w:p w:rsidR="003D4244" w:rsidRPr="00797510" w:rsidRDefault="003D4244" w:rsidP="00B133FE">
            <w:pPr>
              <w:rPr>
                <w:sz w:val="24"/>
                <w:szCs w:val="24"/>
              </w:rPr>
            </w:pPr>
            <w:r w:rsidRPr="00797510">
              <w:rPr>
                <w:sz w:val="24"/>
                <w:szCs w:val="24"/>
              </w:rPr>
              <w:t xml:space="preserve">La squadra si divide </w:t>
            </w:r>
            <w:r>
              <w:rPr>
                <w:sz w:val="24"/>
                <w:szCs w:val="24"/>
              </w:rPr>
              <w:t>in</w:t>
            </w:r>
            <w:r w:rsidRPr="00797510">
              <w:rPr>
                <w:sz w:val="24"/>
                <w:szCs w:val="24"/>
              </w:rPr>
              <w:t xml:space="preserve"> coppie: un membro ricopre il ruolo di lanciatore, l’altro il ruolo di cecchino.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Ogni coppia ha a disposizione una pallina con cui buttare giù almeno 12 birilli su 20 posti ad una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 xml:space="preserve">distanza minima di 10 metri. Il lanciatore della pallina </w:t>
            </w:r>
            <w:r>
              <w:rPr>
                <w:sz w:val="24"/>
                <w:szCs w:val="24"/>
              </w:rPr>
              <w:t>viene</w:t>
            </w:r>
            <w:r w:rsidRPr="00797510">
              <w:rPr>
                <w:sz w:val="24"/>
                <w:szCs w:val="24"/>
              </w:rPr>
              <w:t xml:space="preserve"> bendato e deve attenersi alle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 xml:space="preserve">indicazioni del </w:t>
            </w:r>
            <w:r>
              <w:rPr>
                <w:sz w:val="24"/>
                <w:szCs w:val="24"/>
              </w:rPr>
              <w:t>compagno di coppia. Il cecchino</w:t>
            </w:r>
            <w:r w:rsidRPr="00797510">
              <w:rPr>
                <w:sz w:val="24"/>
                <w:szCs w:val="24"/>
              </w:rPr>
              <w:t xml:space="preserve"> non può usare </w:t>
            </w:r>
            <w:r>
              <w:rPr>
                <w:sz w:val="24"/>
                <w:szCs w:val="24"/>
              </w:rPr>
              <w:t>alcun</w:t>
            </w:r>
            <w:r w:rsidRPr="00797510">
              <w:rPr>
                <w:sz w:val="24"/>
                <w:szCs w:val="24"/>
              </w:rPr>
              <w:t xml:space="preserve">e parole </w:t>
            </w:r>
            <w:r>
              <w:rPr>
                <w:sz w:val="24"/>
                <w:szCs w:val="24"/>
              </w:rPr>
              <w:t>(</w:t>
            </w:r>
            <w:r w:rsidRPr="00797510">
              <w:rPr>
                <w:sz w:val="24"/>
                <w:szCs w:val="24"/>
              </w:rPr>
              <w:t>“destra”, ”sinistra”,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”avanti” ,“dietro”</w:t>
            </w:r>
            <w:r>
              <w:rPr>
                <w:sz w:val="24"/>
                <w:szCs w:val="24"/>
              </w:rPr>
              <w:t>),</w:t>
            </w:r>
            <w:r w:rsidRPr="00797510">
              <w:rPr>
                <w:sz w:val="24"/>
                <w:szCs w:val="24"/>
              </w:rPr>
              <w:t xml:space="preserve"> né toccare il lanciatore. Inoltre ha il compito di andare a recuperare la pallina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una volta lanciata.</w:t>
            </w:r>
          </w:p>
          <w:p w:rsidR="003D4244" w:rsidRPr="00797510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7510">
              <w:rPr>
                <w:i/>
                <w:sz w:val="24"/>
                <w:szCs w:val="24"/>
              </w:rPr>
              <w:lastRenderedPageBreak/>
              <w:t>Prova 5:</w:t>
            </w:r>
            <w:r w:rsidRPr="00797510">
              <w:rPr>
                <w:sz w:val="24"/>
                <w:szCs w:val="24"/>
              </w:rPr>
              <w:t xml:space="preserve"> “MELAMANGIO”</w:t>
            </w:r>
            <w:r>
              <w:rPr>
                <w:sz w:val="24"/>
                <w:szCs w:val="24"/>
              </w:rPr>
              <w:t xml:space="preserve"> [15 minuti]</w:t>
            </w:r>
          </w:p>
          <w:p w:rsidR="003D4244" w:rsidRPr="00797510" w:rsidRDefault="003D4244" w:rsidP="00B133FE">
            <w:pPr>
              <w:rPr>
                <w:sz w:val="24"/>
                <w:szCs w:val="24"/>
              </w:rPr>
            </w:pPr>
            <w:r w:rsidRPr="00797510">
              <w:rPr>
                <w:sz w:val="24"/>
                <w:szCs w:val="24"/>
              </w:rPr>
              <w:t>Ci sono 3 bacinelle</w:t>
            </w:r>
            <w:r>
              <w:rPr>
                <w:sz w:val="24"/>
                <w:szCs w:val="24"/>
              </w:rPr>
              <w:t>:</w:t>
            </w:r>
            <w:r w:rsidRPr="00797510">
              <w:rPr>
                <w:sz w:val="24"/>
                <w:szCs w:val="24"/>
              </w:rPr>
              <w:t xml:space="preserve"> una con delle mele, una con dell’acqua e una vuota. A st</w:t>
            </w:r>
            <w:r>
              <w:rPr>
                <w:sz w:val="24"/>
                <w:szCs w:val="24"/>
              </w:rPr>
              <w:t xml:space="preserve">affetta, uno alla volta, </w:t>
            </w:r>
            <w:r w:rsidRPr="0079751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ragazzi dovranno prendere con la bocca la mela dalla prima bacinella e portarla alla seconda.</w:t>
            </w:r>
            <w:r>
              <w:rPr>
                <w:sz w:val="24"/>
                <w:szCs w:val="24"/>
              </w:rPr>
              <w:t xml:space="preserve"> La mela deve essere mangiata sulla</w:t>
            </w:r>
            <w:r w:rsidRPr="00797510">
              <w:rPr>
                <w:sz w:val="24"/>
                <w:szCs w:val="24"/>
              </w:rPr>
              <w:t xml:space="preserve"> seconda </w:t>
            </w:r>
            <w:r>
              <w:rPr>
                <w:sz w:val="24"/>
                <w:szCs w:val="24"/>
              </w:rPr>
              <w:t xml:space="preserve">bacinella, </w:t>
            </w:r>
            <w:r w:rsidRPr="00797510">
              <w:rPr>
                <w:sz w:val="24"/>
                <w:szCs w:val="24"/>
              </w:rPr>
              <w:t>dove vi è l’acqua</w:t>
            </w:r>
            <w:r>
              <w:rPr>
                <w:sz w:val="24"/>
                <w:szCs w:val="24"/>
              </w:rPr>
              <w:t>.</w:t>
            </w:r>
            <w:r w:rsidRPr="00797510">
              <w:rPr>
                <w:sz w:val="24"/>
                <w:szCs w:val="24"/>
              </w:rPr>
              <w:t xml:space="preserve"> Alla fine</w:t>
            </w:r>
            <w:r>
              <w:rPr>
                <w:sz w:val="24"/>
                <w:szCs w:val="24"/>
              </w:rPr>
              <w:t>,</w:t>
            </w:r>
            <w:r w:rsidRPr="00797510">
              <w:rPr>
                <w:sz w:val="24"/>
                <w:szCs w:val="24"/>
              </w:rPr>
              <w:t xml:space="preserve"> quando rimane il “torsolo”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deve essere afferrato e portato nell’ultima bacinella.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I ragazzi dovranno portare 4 torsoli nell’ultima bacinella per superare la prova. Non è possibile, in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nessun caso, usare le mani.</w:t>
            </w:r>
          </w:p>
          <w:p w:rsidR="003D4244" w:rsidRPr="00797510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7510">
              <w:rPr>
                <w:i/>
                <w:sz w:val="24"/>
                <w:szCs w:val="24"/>
              </w:rPr>
              <w:t>Prova 6:</w:t>
            </w:r>
            <w:r w:rsidRPr="00797510">
              <w:rPr>
                <w:sz w:val="24"/>
                <w:szCs w:val="24"/>
              </w:rPr>
              <w:t xml:space="preserve"> “L’ANELLO E LA FARINA”</w:t>
            </w:r>
            <w:r>
              <w:rPr>
                <w:sz w:val="24"/>
                <w:szCs w:val="24"/>
              </w:rPr>
              <w:t xml:space="preserve"> [10 minuti]</w:t>
            </w:r>
          </w:p>
          <w:p w:rsidR="003D4244" w:rsidRPr="00797510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due</w:t>
            </w:r>
            <w:r w:rsidRPr="00797510">
              <w:rPr>
                <w:sz w:val="24"/>
                <w:szCs w:val="24"/>
              </w:rPr>
              <w:t xml:space="preserve"> bacinelle </w:t>
            </w:r>
            <w:r>
              <w:rPr>
                <w:sz w:val="24"/>
                <w:szCs w:val="24"/>
              </w:rPr>
              <w:t>vengono coperti 8</w:t>
            </w:r>
            <w:r w:rsidRPr="00797510">
              <w:rPr>
                <w:sz w:val="24"/>
                <w:szCs w:val="24"/>
              </w:rPr>
              <w:t xml:space="preserve"> anelli (di cartone)</w:t>
            </w:r>
            <w:r>
              <w:rPr>
                <w:sz w:val="24"/>
                <w:szCs w:val="24"/>
              </w:rPr>
              <w:t xml:space="preserve"> con riso, farina e caffe in abbondanza. </w:t>
            </w:r>
            <w:r w:rsidRPr="00797510">
              <w:rPr>
                <w:sz w:val="24"/>
                <w:szCs w:val="24"/>
              </w:rPr>
              <w:t>Il gioco si svolge a staffetta, dividendo la squadr</w:t>
            </w:r>
            <w:r>
              <w:rPr>
                <w:sz w:val="24"/>
                <w:szCs w:val="24"/>
              </w:rPr>
              <w:t>a in 2 file (una per bacinella):</w:t>
            </w:r>
            <w:r w:rsidRPr="00797510">
              <w:rPr>
                <w:sz w:val="24"/>
                <w:szCs w:val="24"/>
              </w:rPr>
              <w:t xml:space="preserve"> ogni giocatore</w:t>
            </w:r>
            <w:r>
              <w:rPr>
                <w:sz w:val="24"/>
                <w:szCs w:val="24"/>
              </w:rPr>
              <w:t>,</w:t>
            </w:r>
            <w:r w:rsidRPr="00797510">
              <w:rPr>
                <w:sz w:val="24"/>
                <w:szCs w:val="24"/>
              </w:rPr>
              <w:t xml:space="preserve"> tramite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una cannuccia in bocca, andrà nella bacinella alla ricerca dell'anello, dove avrà 15 secondi di tempo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per cercarlo e afferrarlo, utilizzando solamente la cannuccia che ha in bocca (senza usare mai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le mani, neppure per controllare la cannuccia).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Quando uno dei due sottogruppi riesce a prendere l’anello, questo dovrà essere passato da persona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a persona, senza essere toccato con le mani o altre parti del corpo, fino ad arrivare all'ultimo della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fila che porterà l’anello all’animatore.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>La sfida finisce quando entrambe le file avranno raccolto complessivamente 6 anelli</w:t>
            </w:r>
            <w:r>
              <w:rPr>
                <w:sz w:val="24"/>
                <w:szCs w:val="24"/>
              </w:rPr>
              <w:t>.</w:t>
            </w:r>
          </w:p>
          <w:p w:rsidR="003D4244" w:rsidRPr="00DD4A47" w:rsidRDefault="003D4244" w:rsidP="003D4244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4A47">
              <w:rPr>
                <w:i/>
                <w:sz w:val="24"/>
                <w:szCs w:val="24"/>
              </w:rPr>
              <w:t>Prova 7:</w:t>
            </w:r>
            <w:r>
              <w:rPr>
                <w:sz w:val="24"/>
                <w:szCs w:val="24"/>
              </w:rPr>
              <w:t xml:space="preserve"> “GLI INCONTINENTI</w:t>
            </w:r>
            <w:r w:rsidRPr="00DD4A4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[6 minuti]</w:t>
            </w:r>
          </w:p>
          <w:p w:rsidR="003D4244" w:rsidRPr="00F018E7" w:rsidRDefault="003D4244" w:rsidP="00B133FE">
            <w:pPr>
              <w:rPr>
                <w:sz w:val="24"/>
                <w:szCs w:val="24"/>
              </w:rPr>
            </w:pPr>
            <w:r w:rsidRPr="00797510">
              <w:rPr>
                <w:sz w:val="24"/>
                <w:szCs w:val="24"/>
              </w:rPr>
              <w:t>Il gioco si svolge a staffetta, i ragazzi con una spugna dovranno</w:t>
            </w:r>
            <w:r>
              <w:rPr>
                <w:sz w:val="24"/>
                <w:szCs w:val="24"/>
              </w:rPr>
              <w:t xml:space="preserve"> riempire completamente </w:t>
            </w:r>
            <w:r w:rsidRPr="00797510">
              <w:rPr>
                <w:sz w:val="24"/>
                <w:szCs w:val="24"/>
              </w:rPr>
              <w:t>una bacinella posta dall’altra parte del campo. La spugna viene bagnata all’inizio, e deve essere</w:t>
            </w:r>
            <w:r>
              <w:rPr>
                <w:sz w:val="24"/>
                <w:szCs w:val="24"/>
              </w:rPr>
              <w:t xml:space="preserve"> </w:t>
            </w:r>
            <w:r w:rsidRPr="00797510">
              <w:rPr>
                <w:sz w:val="24"/>
                <w:szCs w:val="24"/>
              </w:rPr>
              <w:t xml:space="preserve">portata dall’altra parte del campo mettendola in </w:t>
            </w:r>
            <w:r>
              <w:rPr>
                <w:sz w:val="24"/>
                <w:szCs w:val="24"/>
              </w:rPr>
              <w:t>mezzo alle gambe.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lastRenderedPageBreak/>
              <w:t>Razionalizzazione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L’ira è un vizio a cui non si dovrebbe dare l’opportunità di “invecchiare”, neanche superando il tramonto di una giornata (cfr. </w:t>
            </w:r>
            <w:proofErr w:type="spellStart"/>
            <w:r>
              <w:rPr>
                <w:sz w:val="24"/>
                <w:szCs w:val="24"/>
              </w:rPr>
              <w:t>Ef</w:t>
            </w:r>
            <w:proofErr w:type="spellEnd"/>
            <w:r>
              <w:rPr>
                <w:sz w:val="24"/>
                <w:szCs w:val="24"/>
              </w:rPr>
              <w:t xml:space="preserve"> 4,26). Occorre pertanto vigilare sui moti del proprio cuore e sui tempi in cui questi si manifestano, perché il vino buono della vita evangelica non è compatibile con il “vino inacidito” di una vita che si lascia determinare solo dalle proprie passioni. </w:t>
            </w:r>
            <w:r>
              <w:rPr>
                <w:smallCaps/>
                <w:sz w:val="24"/>
                <w:szCs w:val="24"/>
              </w:rPr>
              <w:t>Nel cammino di discernimento siamo accompagnati a scoprire da dove partono e dove portano le mozioni interiori, per riaffermare ogni volta la nostra appartenenza a Dio, più forte di qualsiasi spinta che tende ad allontanarci da Lui.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ora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squadra: 7 bottiglie-cactus con etichetta; </w:t>
            </w:r>
            <w:r w:rsidRPr="00797510">
              <w:rPr>
                <w:sz w:val="24"/>
                <w:szCs w:val="24"/>
              </w:rPr>
              <w:t>palloncini d’acqua</w:t>
            </w:r>
            <w:r>
              <w:rPr>
                <w:sz w:val="24"/>
                <w:szCs w:val="24"/>
              </w:rPr>
              <w:t>; carte da gioco;</w:t>
            </w:r>
            <w:r w:rsidRPr="00797510">
              <w:rPr>
                <w:sz w:val="24"/>
                <w:szCs w:val="24"/>
              </w:rPr>
              <w:t xml:space="preserve"> bilancia</w:t>
            </w:r>
            <w:r>
              <w:rPr>
                <w:sz w:val="24"/>
                <w:szCs w:val="24"/>
              </w:rPr>
              <w:t xml:space="preserve">; </w:t>
            </w:r>
            <w:r w:rsidRPr="00797510">
              <w:rPr>
                <w:sz w:val="24"/>
                <w:szCs w:val="24"/>
              </w:rPr>
              <w:t>bende, palline, birilli</w:t>
            </w:r>
            <w:r>
              <w:rPr>
                <w:sz w:val="24"/>
                <w:szCs w:val="24"/>
              </w:rPr>
              <w:t>; 4 mele, 3 bacinelle; 8 anelli di cartone, 2</w:t>
            </w:r>
            <w:r w:rsidRPr="00797510">
              <w:rPr>
                <w:sz w:val="24"/>
                <w:szCs w:val="24"/>
              </w:rPr>
              <w:t xml:space="preserve"> bacinell</w:t>
            </w:r>
            <w:r>
              <w:rPr>
                <w:sz w:val="24"/>
                <w:szCs w:val="24"/>
              </w:rPr>
              <w:t>e, riso, caffè, farina; una bacinella, una spugna.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>
              <w:rPr>
                <w:i/>
              </w:rPr>
              <w:t>Allegati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</w:t>
            </w:r>
          </w:p>
        </w:tc>
      </w:tr>
    </w:tbl>
    <w:p w:rsidR="003D4244" w:rsidRDefault="003D4244" w:rsidP="003D4244"/>
    <w:p w:rsidR="003D4244" w:rsidRDefault="003D4244" w:rsidP="003D424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8"/>
        <w:gridCol w:w="7950"/>
      </w:tblGrid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lastRenderedPageBreak/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3D4244" w:rsidRPr="003646A4" w:rsidRDefault="003D4244" w:rsidP="00B133F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ADESSO A CHI TOCCA?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ad attendere, facendo spazio anche all’imperfezione di sé e dell’altro, come parte integrante delle relazioni e non come “incidente di percorso”.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3D4244" w:rsidRDefault="003D4244" w:rsidP="00B133FE">
            <w:pPr>
              <w:rPr>
                <w:sz w:val="24"/>
              </w:rPr>
            </w:pPr>
            <w:r>
              <w:rPr>
                <w:sz w:val="24"/>
              </w:rPr>
              <w:t>Divisi in due squadre, i ragazzi sono chiamati a comporre una storia. Ciascuno pesca alcuni foglietti e legge il contenuto senza poterlo rivelare neanche ai compagni di squadra. In 10 minuti dovranno provare a raccontare la storia nel giusto ordine, leggendo il proprio frammento di storia, intervenendo nel momento più opportuno. Non è possibile dire nessuna parola, se non quelle che sono contenute nel proprio foglietto. È ovviamente possibile che qualcuno intervenga non nel momento più opportuno all’andamento della storia e che dunque metta gli altri in condizione di doversi adattare.</w:t>
            </w:r>
          </w:p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</w:rPr>
              <w:t>Segue una breve rilettura dell’esperienza.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Razionalizzazione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70207">
              <w:rPr>
                <w:sz w:val="24"/>
                <w:szCs w:val="24"/>
              </w:rPr>
              <w:t>Essere pazienti non significa lasciare che ci maltrattino continuamente, o tollerare aggressioni fisiche, o permettere che ci trattino come oggetti. Il problema si pone quando pretendiamo che le relazioni siano idilliache o che le persone siano perfette, o quando ci collochiamo al centro e aspettiamo unicamente che si faccia la nostra volontà. Allora tutto ci spazientisce, tutto ci porta a reagire con aggressività. Se non coltiviamo la pazienza, avremo sempre delle scuse per rispondere con ira</w:t>
            </w:r>
            <w:r>
              <w:rPr>
                <w:sz w:val="24"/>
                <w:szCs w:val="24"/>
              </w:rPr>
              <w:t xml:space="preserve">». </w:t>
            </w:r>
            <w:r w:rsidRPr="00BC3F12">
              <w:rPr>
                <w:smallCaps/>
                <w:sz w:val="24"/>
                <w:szCs w:val="24"/>
              </w:rPr>
              <w:t>Una vera maturità vocazionale riconosce «che anche l’altro possiede il diritto a vivere su questa terra insieme a me, così com’è»</w:t>
            </w:r>
            <w:r>
              <w:rPr>
                <w:sz w:val="24"/>
                <w:szCs w:val="24"/>
              </w:rPr>
              <w:t xml:space="preserve"> (</w:t>
            </w:r>
            <w:r w:rsidRPr="00470207">
              <w:rPr>
                <w:i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 xml:space="preserve"> 92).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minuti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Foglietti con i frammenti della storia; cartellone e nastro adesivo.</w:t>
            </w:r>
          </w:p>
        </w:tc>
      </w:tr>
      <w:tr w:rsidR="003D4244" w:rsidTr="00B133FE">
        <w:tc>
          <w:tcPr>
            <w:tcW w:w="1980" w:type="dxa"/>
          </w:tcPr>
          <w:p w:rsidR="003D4244" w:rsidRPr="00285A24" w:rsidRDefault="003D4244" w:rsidP="00B133FE">
            <w:pPr>
              <w:rPr>
                <w:i/>
              </w:rPr>
            </w:pPr>
            <w:r>
              <w:rPr>
                <w:i/>
                <w:highlight w:val="yellow"/>
              </w:rPr>
              <w:t xml:space="preserve">Allegato </w:t>
            </w:r>
            <w:r w:rsidRPr="00BF03A3">
              <w:rPr>
                <w:b/>
                <w:i/>
                <w:highlight w:val="yellow"/>
              </w:rPr>
              <w:t>2</w:t>
            </w:r>
          </w:p>
        </w:tc>
        <w:tc>
          <w:tcPr>
            <w:tcW w:w="12297" w:type="dxa"/>
          </w:tcPr>
          <w:p w:rsidR="003D4244" w:rsidRPr="00F018E7" w:rsidRDefault="003D4244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Prototipo di storia</w:t>
            </w:r>
          </w:p>
        </w:tc>
      </w:tr>
    </w:tbl>
    <w:p w:rsidR="00F26001" w:rsidRDefault="00F26001"/>
    <w:sectPr w:rsidR="00F26001" w:rsidSect="00084C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9C1"/>
    <w:multiLevelType w:val="hybridMultilevel"/>
    <w:tmpl w:val="5F8A96F4"/>
    <w:lvl w:ilvl="0" w:tplc="55645B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4"/>
    <w:rsid w:val="00084C46"/>
    <w:rsid w:val="003D4244"/>
    <w:rsid w:val="0047755B"/>
    <w:rsid w:val="00960820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244"/>
    <w:pPr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4244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244"/>
    <w:pPr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4244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Gianola</dc:creator>
  <cp:keywords/>
  <dc:description/>
  <cp:lastModifiedBy>Elena Goldin</cp:lastModifiedBy>
  <cp:revision>2</cp:revision>
  <dcterms:created xsi:type="dcterms:W3CDTF">2019-05-15T09:44:00Z</dcterms:created>
  <dcterms:modified xsi:type="dcterms:W3CDTF">2020-07-21T08:37:00Z</dcterms:modified>
</cp:coreProperties>
</file>