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7D" w:rsidRPr="00CF48F6" w:rsidRDefault="005D177D" w:rsidP="005D177D">
      <w:pPr>
        <w:jc w:val="center"/>
        <w:rPr>
          <w:b/>
          <w:color w:val="FF0000"/>
          <w:sz w:val="52"/>
        </w:rPr>
      </w:pPr>
      <w:r w:rsidRPr="00CF48F6">
        <w:rPr>
          <w:b/>
          <w:color w:val="FF0000"/>
          <w:sz w:val="52"/>
        </w:rPr>
        <w:t>ACCIDIA/AUDACIA</w:t>
      </w:r>
    </w:p>
    <w:p w:rsidR="005D177D" w:rsidRDefault="005D177D" w:rsidP="005D177D"/>
    <w:p w:rsidR="005D177D" w:rsidRDefault="005D177D" w:rsidP="005D177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2"/>
        <w:gridCol w:w="7730"/>
      </w:tblGrid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5D177D" w:rsidRPr="003646A4" w:rsidRDefault="005D177D" w:rsidP="00B133FE">
            <w:pPr>
              <w:rPr>
                <w:b/>
                <w:sz w:val="28"/>
                <w:szCs w:val="24"/>
              </w:rPr>
            </w:pPr>
            <w:r w:rsidRPr="003646A4">
              <w:rPr>
                <w:b/>
                <w:sz w:val="28"/>
                <w:szCs w:val="24"/>
              </w:rPr>
              <w:t>BUTTATI!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Imparare ad essere audaci nelle relazioni, facendo crescere la fiducia.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uno spazio piuttosto ampio, si colloca un tavolo robusto e due materassi. Ciascun giovane, bendato, è invitato a salire in piedi sul tavolo e da lì cadere a pancia in giù. Il resto del gruppo, in totale silenzio, sposterà i materassi in maniera tale da rendere sicura la “caduta” del ragazzo bendato. Quest’ultimo potrà scegliere da chi farsi guidare, dapprima solo con la voce, per raggiungere il bordo del tavolo, e poi con una mano, per accompagnare il “tuffo”.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Razionalizzazione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contrario della paura non è semplicemente il coraggio, ma è la capacità di affidarsi. Per vivere appieno occorre necessariamente osare, uscire dalle proprie zone di </w:t>
            </w:r>
            <w:r w:rsidRPr="00270409">
              <w:rPr>
                <w:i/>
                <w:sz w:val="24"/>
                <w:szCs w:val="24"/>
              </w:rPr>
              <w:t>comfort</w:t>
            </w:r>
            <w:r>
              <w:rPr>
                <w:sz w:val="24"/>
                <w:szCs w:val="24"/>
              </w:rPr>
              <w:t xml:space="preserve"> e giocarsi fino in fondo nella relazione con l’altro. Se non si accetta questo rischio si può solo “vivacchiare” o restare in stand-by. La parte migliore della vita sta nel buttarsi, ascoltando una voce che guida e accogliendo una mano che accompagna. </w:t>
            </w:r>
            <w:r w:rsidRPr="008D6469">
              <w:rPr>
                <w:smallCaps/>
                <w:sz w:val="24"/>
                <w:szCs w:val="24"/>
              </w:rPr>
              <w:t>Discernere è uscire dagli schemi dell’</w:t>
            </w:r>
            <w:r>
              <w:rPr>
                <w:smallCaps/>
                <w:sz w:val="24"/>
                <w:szCs w:val="24"/>
              </w:rPr>
              <w:t>“</w:t>
            </w:r>
            <w:r w:rsidRPr="008D6469">
              <w:rPr>
                <w:smallCaps/>
                <w:sz w:val="24"/>
                <w:szCs w:val="24"/>
              </w:rPr>
              <w:t>ormai</w:t>
            </w:r>
            <w:r>
              <w:rPr>
                <w:smallCaps/>
                <w:sz w:val="24"/>
                <w:szCs w:val="24"/>
              </w:rPr>
              <w:t>”</w:t>
            </w:r>
            <w:r w:rsidRPr="008D6469">
              <w:rPr>
                <w:smallCaps/>
                <w:sz w:val="24"/>
                <w:szCs w:val="24"/>
              </w:rPr>
              <w:t xml:space="preserve">, del </w:t>
            </w:r>
            <w:r>
              <w:rPr>
                <w:smallCaps/>
                <w:sz w:val="24"/>
                <w:szCs w:val="24"/>
              </w:rPr>
              <w:t>“</w:t>
            </w:r>
            <w:r w:rsidRPr="008D6469">
              <w:rPr>
                <w:smallCaps/>
                <w:sz w:val="24"/>
                <w:szCs w:val="24"/>
              </w:rPr>
              <w:t>già dato</w:t>
            </w:r>
            <w:r>
              <w:rPr>
                <w:smallCaps/>
                <w:sz w:val="24"/>
                <w:szCs w:val="24"/>
              </w:rPr>
              <w:t>”</w:t>
            </w:r>
            <w:r w:rsidRPr="008D6469">
              <w:rPr>
                <w:smallCaps/>
                <w:sz w:val="24"/>
                <w:szCs w:val="24"/>
              </w:rPr>
              <w:t>, dell’accontentarsi, per avventurarsi negli orizzonti dell’</w:t>
            </w:r>
            <w:r>
              <w:rPr>
                <w:smallCaps/>
                <w:sz w:val="24"/>
                <w:szCs w:val="24"/>
              </w:rPr>
              <w:t>“</w:t>
            </w:r>
            <w:r w:rsidRPr="008D6469">
              <w:rPr>
                <w:smallCaps/>
                <w:sz w:val="24"/>
                <w:szCs w:val="24"/>
              </w:rPr>
              <w:t>oltre</w:t>
            </w:r>
            <w:r>
              <w:rPr>
                <w:smallCaps/>
                <w:sz w:val="24"/>
                <w:szCs w:val="24"/>
              </w:rPr>
              <w:t>”</w:t>
            </w:r>
            <w:r w:rsidRPr="008D6469">
              <w:rPr>
                <w:smallCaps/>
                <w:sz w:val="24"/>
                <w:szCs w:val="24"/>
              </w:rPr>
              <w:t>.</w:t>
            </w:r>
            <w:r>
              <w:rPr>
                <w:smallCaps/>
                <w:sz w:val="24"/>
                <w:szCs w:val="24"/>
              </w:rPr>
              <w:t xml:space="preserve"> Mettersi alla ricerca della volontà di Dio nella propria vita per poterla compiere implica il dire no a piccole sicurezze per potersi invece aprire alla fatica e alla bellezza del cammino.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minuti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Tavolo, materassi, bende.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>
              <w:rPr>
                <w:i/>
              </w:rPr>
              <w:t>Allegati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- -</w:t>
            </w:r>
          </w:p>
        </w:tc>
      </w:tr>
    </w:tbl>
    <w:p w:rsidR="005D177D" w:rsidRDefault="005D177D" w:rsidP="005D177D"/>
    <w:p w:rsidR="005D177D" w:rsidRDefault="005D177D" w:rsidP="005D177D">
      <w:r>
        <w:br w:type="page"/>
      </w:r>
    </w:p>
    <w:p w:rsidR="005D177D" w:rsidRDefault="005D177D" w:rsidP="005D177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9"/>
        <w:gridCol w:w="7733"/>
      </w:tblGrid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Titolo</w:t>
            </w:r>
          </w:p>
        </w:tc>
        <w:tc>
          <w:tcPr>
            <w:tcW w:w="12297" w:type="dxa"/>
            <w:shd w:val="clear" w:color="auto" w:fill="D9D9D9" w:themeFill="background1" w:themeFillShade="D9"/>
          </w:tcPr>
          <w:p w:rsidR="005D177D" w:rsidRPr="00CF48F6" w:rsidRDefault="005D177D" w:rsidP="00B133F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COLORA LA GIORNATA!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Obiettivo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 w:rsidRPr="00B530C1">
              <w:rPr>
                <w:sz w:val="24"/>
                <w:szCs w:val="24"/>
              </w:rPr>
              <w:t>Prendere consapevolezza della propria quotidianità e della qualità del tempo che si vive</w:t>
            </w:r>
            <w:r>
              <w:rPr>
                <w:sz w:val="24"/>
                <w:szCs w:val="24"/>
              </w:rPr>
              <w:t>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 xml:space="preserve">Svolgimento </w:t>
            </w:r>
          </w:p>
        </w:tc>
        <w:tc>
          <w:tcPr>
            <w:tcW w:w="12297" w:type="dxa"/>
          </w:tcPr>
          <w:p w:rsidR="005D177D" w:rsidRPr="00B530C1" w:rsidRDefault="005D177D" w:rsidP="00B133FE">
            <w:pPr>
              <w:rPr>
                <w:sz w:val="24"/>
                <w:szCs w:val="24"/>
              </w:rPr>
            </w:pPr>
            <w:r w:rsidRPr="00B530C1">
              <w:rPr>
                <w:sz w:val="24"/>
                <w:szCs w:val="24"/>
              </w:rPr>
              <w:t>Vengono consegnati ai ragazzi delle schede, di tre giorni della settimana, il primo a</w:t>
            </w:r>
            <w:r>
              <w:rPr>
                <w:sz w:val="24"/>
                <w:szCs w:val="24"/>
              </w:rPr>
              <w:t xml:space="preserve"> </w:t>
            </w:r>
            <w:r w:rsidRPr="00B530C1">
              <w:rPr>
                <w:sz w:val="24"/>
                <w:szCs w:val="24"/>
              </w:rPr>
              <w:t xml:space="preserve">scelta del singolo e gli altri due indicati dall’animatore, cioè il </w:t>
            </w:r>
            <w:r>
              <w:rPr>
                <w:sz w:val="24"/>
                <w:szCs w:val="24"/>
              </w:rPr>
              <w:t>s</w:t>
            </w:r>
            <w:r w:rsidRPr="00B530C1">
              <w:rPr>
                <w:sz w:val="24"/>
                <w:szCs w:val="24"/>
              </w:rPr>
              <w:t xml:space="preserve">abato e la </w:t>
            </w:r>
            <w:r>
              <w:rPr>
                <w:sz w:val="24"/>
                <w:szCs w:val="24"/>
              </w:rPr>
              <w:t>d</w:t>
            </w:r>
            <w:r w:rsidRPr="00B530C1">
              <w:rPr>
                <w:sz w:val="24"/>
                <w:szCs w:val="24"/>
              </w:rPr>
              <w:t xml:space="preserve">omenica. </w:t>
            </w:r>
          </w:p>
          <w:p w:rsidR="005D177D" w:rsidRPr="00B530C1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Ogni scheda h</w:t>
            </w:r>
            <w:r w:rsidRPr="00B530C1">
              <w:rPr>
                <w:sz w:val="24"/>
                <w:szCs w:val="24"/>
              </w:rPr>
              <w:t>a una tabella</w:t>
            </w:r>
            <w:r>
              <w:rPr>
                <w:sz w:val="24"/>
                <w:szCs w:val="24"/>
              </w:rPr>
              <w:t>,</w:t>
            </w:r>
            <w:r w:rsidRPr="00B530C1">
              <w:rPr>
                <w:sz w:val="24"/>
                <w:szCs w:val="24"/>
              </w:rPr>
              <w:t xml:space="preserve"> le cui colon</w:t>
            </w:r>
            <w:r>
              <w:rPr>
                <w:sz w:val="24"/>
                <w:szCs w:val="24"/>
              </w:rPr>
              <w:t xml:space="preserve">ne riportano gli orari, le </w:t>
            </w:r>
            <w:r w:rsidRPr="00B530C1">
              <w:rPr>
                <w:sz w:val="24"/>
                <w:szCs w:val="24"/>
              </w:rPr>
              <w:t xml:space="preserve">attività </w:t>
            </w:r>
            <w:r>
              <w:rPr>
                <w:sz w:val="24"/>
                <w:szCs w:val="24"/>
              </w:rPr>
              <w:t>corrispondenti alle specifiche fasce d’</w:t>
            </w:r>
            <w:r w:rsidRPr="00B530C1">
              <w:rPr>
                <w:sz w:val="24"/>
                <w:szCs w:val="24"/>
              </w:rPr>
              <w:t xml:space="preserve">orario (il tempo libero è considerato come attività), </w:t>
            </w:r>
            <w:r>
              <w:rPr>
                <w:sz w:val="24"/>
                <w:szCs w:val="24"/>
              </w:rPr>
              <w:t xml:space="preserve">il modo in cui si vivono quelle determinate </w:t>
            </w:r>
            <w:r w:rsidRPr="00B530C1">
              <w:rPr>
                <w:sz w:val="24"/>
                <w:szCs w:val="24"/>
              </w:rPr>
              <w:t xml:space="preserve">attività, </w:t>
            </w:r>
            <w:r>
              <w:rPr>
                <w:sz w:val="24"/>
                <w:szCs w:val="24"/>
              </w:rPr>
              <w:t xml:space="preserve">le motivazioni </w:t>
            </w:r>
            <w:r w:rsidRPr="00B530C1">
              <w:rPr>
                <w:sz w:val="24"/>
                <w:szCs w:val="24"/>
              </w:rPr>
              <w:t>e il colore che</w:t>
            </w:r>
            <w:r>
              <w:rPr>
                <w:sz w:val="24"/>
                <w:szCs w:val="24"/>
              </w:rPr>
              <w:t xml:space="preserve"> </w:t>
            </w:r>
            <w:r w:rsidRPr="00B530C1">
              <w:rPr>
                <w:sz w:val="24"/>
                <w:szCs w:val="24"/>
              </w:rPr>
              <w:t xml:space="preserve">contraddistingue le emozioni e le sensazioni </w:t>
            </w:r>
            <w:r>
              <w:rPr>
                <w:sz w:val="24"/>
                <w:szCs w:val="24"/>
              </w:rPr>
              <w:t>vissute</w:t>
            </w:r>
            <w:r w:rsidRPr="00B530C1">
              <w:rPr>
                <w:sz w:val="24"/>
                <w:szCs w:val="24"/>
              </w:rPr>
              <w:t xml:space="preserve"> (per esempio: Tommaso dalle 17</w:t>
            </w:r>
            <w:r>
              <w:rPr>
                <w:sz w:val="24"/>
                <w:szCs w:val="24"/>
              </w:rPr>
              <w:t xml:space="preserve"> </w:t>
            </w:r>
            <w:r w:rsidRPr="00B530C1">
              <w:rPr>
                <w:sz w:val="24"/>
                <w:szCs w:val="24"/>
              </w:rPr>
              <w:t xml:space="preserve">alle 18 fa gli allenamenti di basket, si diverte perché gioca in squadra e perché il </w:t>
            </w:r>
            <w:r>
              <w:rPr>
                <w:sz w:val="24"/>
                <w:szCs w:val="24"/>
              </w:rPr>
              <w:t>b</w:t>
            </w:r>
            <w:r w:rsidRPr="00B530C1">
              <w:rPr>
                <w:sz w:val="24"/>
                <w:szCs w:val="24"/>
              </w:rPr>
              <w:t>asket è il suo sport</w:t>
            </w:r>
            <w:r>
              <w:rPr>
                <w:sz w:val="24"/>
                <w:szCs w:val="24"/>
              </w:rPr>
              <w:t xml:space="preserve"> </w:t>
            </w:r>
            <w:r w:rsidRPr="00B530C1">
              <w:rPr>
                <w:sz w:val="24"/>
                <w:szCs w:val="24"/>
              </w:rPr>
              <w:t>preferito, si impegna perché vuole essere titolare nella squadra: associa a tutto questo il colore</w:t>
            </w:r>
            <w:r>
              <w:rPr>
                <w:sz w:val="24"/>
                <w:szCs w:val="24"/>
              </w:rPr>
              <w:t xml:space="preserve"> </w:t>
            </w:r>
            <w:r w:rsidRPr="00B530C1">
              <w:rPr>
                <w:sz w:val="24"/>
                <w:szCs w:val="24"/>
              </w:rPr>
              <w:t>giallo/arancione, che rappresenta per lui la gioia, la passione).</w:t>
            </w:r>
            <w:r>
              <w:rPr>
                <w:sz w:val="24"/>
                <w:szCs w:val="24"/>
              </w:rPr>
              <w:t xml:space="preserve"> </w:t>
            </w:r>
            <w:r w:rsidRPr="00B530C1">
              <w:rPr>
                <w:sz w:val="24"/>
                <w:szCs w:val="24"/>
              </w:rPr>
              <w:t>Occorre chiedere ai ragazzi di non essere superficiali ma piuttosto dettagliati</w:t>
            </w:r>
            <w:r>
              <w:rPr>
                <w:sz w:val="24"/>
                <w:szCs w:val="24"/>
              </w:rPr>
              <w:t xml:space="preserve">. </w:t>
            </w:r>
            <w:r w:rsidRPr="00B530C1">
              <w:rPr>
                <w:sz w:val="24"/>
                <w:szCs w:val="24"/>
              </w:rPr>
              <w:t>Si lascia un tempo di almeno 25 minuti per completare il lavoro.</w:t>
            </w:r>
          </w:p>
          <w:p w:rsidR="005D177D" w:rsidRPr="00B530C1" w:rsidRDefault="005D177D" w:rsidP="00B133FE">
            <w:pPr>
              <w:rPr>
                <w:sz w:val="24"/>
                <w:szCs w:val="24"/>
              </w:rPr>
            </w:pPr>
            <w:r w:rsidRPr="00B530C1">
              <w:rPr>
                <w:sz w:val="24"/>
                <w:szCs w:val="24"/>
              </w:rPr>
              <w:t xml:space="preserve">Segue una condivisione in piccoli gruppi, per permettere a tutti di condividere le giornate. </w:t>
            </w:r>
          </w:p>
          <w:p w:rsidR="005D177D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Alcune </w:t>
            </w:r>
            <w:r w:rsidRPr="00B530C1">
              <w:rPr>
                <w:sz w:val="24"/>
                <w:szCs w:val="24"/>
              </w:rPr>
              <w:t xml:space="preserve">domande </w:t>
            </w:r>
            <w:r>
              <w:rPr>
                <w:sz w:val="24"/>
                <w:szCs w:val="24"/>
              </w:rPr>
              <w:t xml:space="preserve">possono facilitare </w:t>
            </w:r>
            <w:r w:rsidRPr="00B530C1">
              <w:rPr>
                <w:sz w:val="24"/>
                <w:szCs w:val="24"/>
              </w:rPr>
              <w:t>l’interazione in gruppo</w:t>
            </w:r>
            <w:r>
              <w:rPr>
                <w:sz w:val="24"/>
                <w:szCs w:val="24"/>
              </w:rPr>
              <w:t>:</w:t>
            </w:r>
          </w:p>
          <w:p w:rsidR="005D177D" w:rsidRPr="00AE680C" w:rsidRDefault="005D177D" w:rsidP="005D177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>È stato facile o difficile fare questa analisi della mia giornata?</w:t>
            </w:r>
          </w:p>
          <w:p w:rsidR="005D177D" w:rsidRPr="00AE680C" w:rsidRDefault="005D177D" w:rsidP="005D177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>Quali sono gli aspetti che più mi preoccupano? Quali sono quelli che mi danno serenità?</w:t>
            </w:r>
          </w:p>
          <w:p w:rsidR="005D177D" w:rsidRPr="00AE680C" w:rsidRDefault="005D177D" w:rsidP="005D177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>Che qualità sto dando alla mia vita?</w:t>
            </w:r>
          </w:p>
          <w:p w:rsidR="005D177D" w:rsidRPr="00AE680C" w:rsidRDefault="005D177D" w:rsidP="005D177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>Che valutazione complessiva posso dare alle giornate che vivo?</w:t>
            </w:r>
          </w:p>
          <w:p w:rsidR="005D177D" w:rsidRPr="00AE680C" w:rsidRDefault="005D177D" w:rsidP="005D177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>Tra la mia giornata ideale e quella reale, quanta differenza c’è?</w:t>
            </w:r>
          </w:p>
          <w:p w:rsidR="005D177D" w:rsidRPr="00AE680C" w:rsidRDefault="005D177D" w:rsidP="005D177D">
            <w:pPr>
              <w:pStyle w:val="Paragrafoelenco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 xml:space="preserve">Cosa vorrei cambiare </w:t>
            </w:r>
            <w:proofErr w:type="gramStart"/>
            <w:r w:rsidRPr="00AE680C">
              <w:rPr>
                <w:sz w:val="24"/>
                <w:szCs w:val="24"/>
              </w:rPr>
              <w:t>delle mie giornata</w:t>
            </w:r>
            <w:proofErr w:type="gramEnd"/>
            <w:r w:rsidRPr="00AE680C">
              <w:rPr>
                <w:sz w:val="24"/>
                <w:szCs w:val="24"/>
              </w:rPr>
              <w:t xml:space="preserve"> reali?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Razionalizzazione</w:t>
            </w:r>
          </w:p>
        </w:tc>
        <w:tc>
          <w:tcPr>
            <w:tcW w:w="12297" w:type="dxa"/>
          </w:tcPr>
          <w:p w:rsidR="005D177D" w:rsidRPr="00AE680C" w:rsidRDefault="005D177D" w:rsidP="00B133FE">
            <w:pPr>
              <w:rPr>
                <w:smallCaps/>
                <w:sz w:val="24"/>
                <w:szCs w:val="24"/>
              </w:rPr>
            </w:pPr>
            <w:r w:rsidRPr="00B530C1">
              <w:rPr>
                <w:sz w:val="24"/>
                <w:szCs w:val="24"/>
              </w:rPr>
              <w:t xml:space="preserve">La scelta di colorare le attività che si svolgono aiuta a capire </w:t>
            </w:r>
            <w:r>
              <w:rPr>
                <w:sz w:val="24"/>
                <w:szCs w:val="24"/>
              </w:rPr>
              <w:t xml:space="preserve">il valore del proprio tempo e </w:t>
            </w:r>
            <w:r w:rsidRPr="00B530C1">
              <w:rPr>
                <w:sz w:val="24"/>
                <w:szCs w:val="24"/>
              </w:rPr>
              <w:t xml:space="preserve">se la giornata è piuttosto </w:t>
            </w:r>
            <w:r>
              <w:rPr>
                <w:sz w:val="24"/>
                <w:szCs w:val="24"/>
              </w:rPr>
              <w:t>“</w:t>
            </w:r>
            <w:r w:rsidRPr="00B530C1">
              <w:rPr>
                <w:sz w:val="24"/>
                <w:szCs w:val="24"/>
              </w:rPr>
              <w:t>grigia</w:t>
            </w:r>
            <w:r>
              <w:rPr>
                <w:sz w:val="24"/>
                <w:szCs w:val="24"/>
              </w:rPr>
              <w:t>”</w:t>
            </w:r>
            <w:r w:rsidRPr="00B530C1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 xml:space="preserve"> “</w:t>
            </w:r>
            <w:r w:rsidRPr="00B530C1">
              <w:rPr>
                <w:sz w:val="24"/>
                <w:szCs w:val="24"/>
              </w:rPr>
              <w:t>colorata</w:t>
            </w:r>
            <w:r>
              <w:rPr>
                <w:sz w:val="24"/>
                <w:szCs w:val="24"/>
              </w:rPr>
              <w:t>”</w:t>
            </w:r>
            <w:r w:rsidRPr="00B530C1">
              <w:rPr>
                <w:sz w:val="24"/>
                <w:szCs w:val="24"/>
              </w:rPr>
              <w:t>: universalmente</w:t>
            </w:r>
            <w:r>
              <w:rPr>
                <w:sz w:val="24"/>
                <w:szCs w:val="24"/>
              </w:rPr>
              <w:t xml:space="preserve">, infatti, alla tristezza e alla paura sono associati colori come il </w:t>
            </w:r>
            <w:r w:rsidRPr="00B530C1">
              <w:rPr>
                <w:sz w:val="24"/>
                <w:szCs w:val="24"/>
              </w:rPr>
              <w:t xml:space="preserve">nero, </w:t>
            </w:r>
            <w:r>
              <w:rPr>
                <w:sz w:val="24"/>
                <w:szCs w:val="24"/>
              </w:rPr>
              <w:t xml:space="preserve">il </w:t>
            </w:r>
            <w:r w:rsidRPr="00B530C1">
              <w:rPr>
                <w:sz w:val="24"/>
                <w:szCs w:val="24"/>
              </w:rPr>
              <w:t xml:space="preserve">grigio, </w:t>
            </w:r>
            <w:r>
              <w:rPr>
                <w:sz w:val="24"/>
                <w:szCs w:val="24"/>
              </w:rPr>
              <w:t xml:space="preserve">il blu scuro; mentre alla </w:t>
            </w:r>
            <w:r w:rsidRPr="00B530C1">
              <w:rPr>
                <w:sz w:val="24"/>
                <w:szCs w:val="24"/>
              </w:rPr>
              <w:t xml:space="preserve">gioia, </w:t>
            </w:r>
            <w:r>
              <w:rPr>
                <w:sz w:val="24"/>
                <w:szCs w:val="24"/>
              </w:rPr>
              <w:t>alla serenità e alla passione</w:t>
            </w:r>
            <w:r w:rsidRPr="00B530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sono abbinati</w:t>
            </w:r>
            <w:r w:rsidRPr="00B530C1">
              <w:rPr>
                <w:sz w:val="24"/>
                <w:szCs w:val="24"/>
              </w:rPr>
              <w:t xml:space="preserve"> colori molto accesi e brillanti (</w:t>
            </w:r>
            <w:r>
              <w:rPr>
                <w:sz w:val="24"/>
                <w:szCs w:val="24"/>
              </w:rPr>
              <w:t xml:space="preserve">il </w:t>
            </w:r>
            <w:r w:rsidRPr="00B530C1">
              <w:rPr>
                <w:sz w:val="24"/>
                <w:szCs w:val="24"/>
              </w:rPr>
              <w:t xml:space="preserve">giallo, </w:t>
            </w:r>
            <w:r>
              <w:rPr>
                <w:sz w:val="24"/>
                <w:szCs w:val="24"/>
              </w:rPr>
              <w:t xml:space="preserve">il </w:t>
            </w:r>
            <w:r w:rsidRPr="00B530C1">
              <w:rPr>
                <w:sz w:val="24"/>
                <w:szCs w:val="24"/>
              </w:rPr>
              <w:t xml:space="preserve">verde, </w:t>
            </w:r>
            <w:r>
              <w:rPr>
                <w:sz w:val="24"/>
                <w:szCs w:val="24"/>
              </w:rPr>
              <w:t>l’</w:t>
            </w:r>
            <w:r w:rsidRPr="00B530C1">
              <w:rPr>
                <w:sz w:val="24"/>
                <w:szCs w:val="24"/>
              </w:rPr>
              <w:t xml:space="preserve">arancio, </w:t>
            </w:r>
            <w:r>
              <w:rPr>
                <w:sz w:val="24"/>
                <w:szCs w:val="24"/>
              </w:rPr>
              <w:t xml:space="preserve">il </w:t>
            </w:r>
            <w:r w:rsidRPr="00B530C1">
              <w:rPr>
                <w:sz w:val="24"/>
                <w:szCs w:val="24"/>
              </w:rPr>
              <w:t>rosso).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mallCaps/>
                <w:sz w:val="24"/>
                <w:szCs w:val="24"/>
              </w:rPr>
              <w:t>Nella relazione con il tempo, un inganno da disinnescare è quello di doversi impegnare continuamente a riempirlo. Ogni cammino di discernimento vocazionale, invece, può insegnare a dare pienezza al tempo e a vivere con passione e creatività ogni istante. In questo modo, si scopre che il tempo è un dono in sé e non semplicemente un contenitore vuoto che acquisisce valore a secondo del suo contenuto.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Durata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ora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 w:rsidRPr="00285A24">
              <w:rPr>
                <w:i/>
              </w:rPr>
              <w:t>Materiali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 w:rsidRPr="00AE680C">
              <w:rPr>
                <w:sz w:val="24"/>
                <w:szCs w:val="24"/>
              </w:rPr>
              <w:t xml:space="preserve">3 schede per </w:t>
            </w:r>
            <w:r>
              <w:rPr>
                <w:sz w:val="24"/>
                <w:szCs w:val="24"/>
              </w:rPr>
              <w:t>ciascun partecipante</w:t>
            </w:r>
            <w:r w:rsidRPr="00AE680C">
              <w:rPr>
                <w:sz w:val="24"/>
                <w:szCs w:val="24"/>
              </w:rPr>
              <w:t>, penne, colori</w:t>
            </w:r>
            <w:r>
              <w:rPr>
                <w:sz w:val="24"/>
                <w:szCs w:val="24"/>
              </w:rPr>
              <w:t>.</w:t>
            </w:r>
          </w:p>
        </w:tc>
      </w:tr>
      <w:tr w:rsidR="005D177D" w:rsidTr="00B133FE">
        <w:tc>
          <w:tcPr>
            <w:tcW w:w="1980" w:type="dxa"/>
          </w:tcPr>
          <w:p w:rsidR="005D177D" w:rsidRPr="00285A24" w:rsidRDefault="005D177D" w:rsidP="00B133FE">
            <w:pPr>
              <w:rPr>
                <w:i/>
              </w:rPr>
            </w:pPr>
            <w:r>
              <w:rPr>
                <w:i/>
                <w:highlight w:val="yellow"/>
              </w:rPr>
              <w:t xml:space="preserve">Allegato </w:t>
            </w:r>
            <w:r w:rsidRPr="00BF03A3">
              <w:rPr>
                <w:b/>
                <w:i/>
                <w:highlight w:val="yellow"/>
              </w:rPr>
              <w:t>3</w:t>
            </w:r>
          </w:p>
        </w:tc>
        <w:tc>
          <w:tcPr>
            <w:tcW w:w="12297" w:type="dxa"/>
          </w:tcPr>
          <w:p w:rsidR="005D177D" w:rsidRPr="00F018E7" w:rsidRDefault="005D177D" w:rsidP="00B13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Prototipi delle schede</w:t>
            </w:r>
          </w:p>
        </w:tc>
      </w:tr>
    </w:tbl>
    <w:p w:rsidR="005D177D" w:rsidRDefault="005D177D" w:rsidP="005D177D"/>
    <w:p w:rsidR="005D177D" w:rsidRDefault="005D177D" w:rsidP="005D177D">
      <w:r>
        <w:br w:type="page"/>
      </w:r>
    </w:p>
    <w:p w:rsidR="00F26001" w:rsidRDefault="00F26001">
      <w:bookmarkStart w:id="0" w:name="_GoBack"/>
      <w:bookmarkEnd w:id="0"/>
    </w:p>
    <w:sectPr w:rsidR="00F26001" w:rsidSect="00084C4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6A9E"/>
    <w:multiLevelType w:val="hybridMultilevel"/>
    <w:tmpl w:val="DD603BF0"/>
    <w:lvl w:ilvl="0" w:tplc="156C3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7D"/>
    <w:rsid w:val="00084C46"/>
    <w:rsid w:val="005D177D"/>
    <w:rsid w:val="00960820"/>
    <w:rsid w:val="00F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5E4C8C9-7A57-D546-8602-DDBB0E8D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177D"/>
    <w:pPr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177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1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Gianola</dc:creator>
  <cp:keywords/>
  <dc:description/>
  <cp:lastModifiedBy>Michele Gianola</cp:lastModifiedBy>
  <cp:revision>1</cp:revision>
  <dcterms:created xsi:type="dcterms:W3CDTF">2019-05-15T09:47:00Z</dcterms:created>
  <dcterms:modified xsi:type="dcterms:W3CDTF">2019-05-15T09:47:00Z</dcterms:modified>
</cp:coreProperties>
</file>